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1654">
      <w:pPr>
        <w:keepNext w:val="0"/>
        <w:keepLines w:val="0"/>
        <w:widowControl w:val="0"/>
        <w:suppressLineNumbers w:val="0"/>
        <w:spacing w:before="0" w:beforeAutospacing="0" w:after="0" w:afterAutospacing="0" w:line="1200" w:lineRule="exact"/>
        <w:ind w:left="0" w:right="0" w:firstLine="2324" w:firstLineChars="500"/>
        <w:jc w:val="both"/>
        <w:rPr>
          <w:rFonts w:eastAsia="方正小标宋简体"/>
          <w:b/>
          <w:bCs/>
          <w:color w:val="FF0000"/>
          <w:w w:val="66"/>
          <w:kern w:val="0"/>
          <w:sz w:val="70"/>
          <w:szCs w:val="70"/>
          <w:lang w:val="en-US"/>
        </w:rPr>
      </w:pP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天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津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科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技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大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学</w:t>
      </w:r>
    </w:p>
    <w:p w14:paraId="15793BEB">
      <w:pPr>
        <w:keepNext w:val="0"/>
        <w:keepLines w:val="0"/>
        <w:widowControl w:val="0"/>
        <w:suppressLineNumbers w:val="0"/>
        <w:spacing w:before="0" w:beforeAutospacing="0" w:after="0" w:afterAutospacing="0" w:line="1200" w:lineRule="exact"/>
        <w:ind w:left="0" w:leftChars="0" w:right="0" w:firstLine="465" w:firstLineChars="100"/>
        <w:jc w:val="both"/>
        <w:rPr>
          <w:rFonts w:eastAsia="方正小标宋简体"/>
          <w:b/>
          <w:bCs/>
          <w:color w:val="FF0000"/>
          <w:w w:val="60"/>
          <w:kern w:val="0"/>
          <w:sz w:val="76"/>
          <w:szCs w:val="22"/>
          <w:lang w:val="en-US"/>
        </w:rPr>
      </w:pP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电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子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信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息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与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自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动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化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学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院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文</w:t>
      </w:r>
      <w:r>
        <w:rPr>
          <w:rFonts w:hint="eastAsia" w:ascii="等线" w:hAnsi="等线" w:eastAsia="方正小标宋简体" w:cs="Times New Roman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 xml:space="preserve"> </w:t>
      </w:r>
      <w:r>
        <w:rPr>
          <w:rFonts w:hint="eastAsia" w:ascii="等线" w:hAnsi="方正小标宋简体" w:eastAsia="方正小标宋简体" w:cs="方正小标宋简体"/>
          <w:b/>
          <w:bCs/>
          <w:color w:val="FF0000"/>
          <w:w w:val="66"/>
          <w:kern w:val="0"/>
          <w:sz w:val="70"/>
          <w:szCs w:val="70"/>
          <w:lang w:val="en-US" w:eastAsia="zh-CN" w:bidi="ar"/>
        </w:rPr>
        <w:t>件</w:t>
      </w:r>
    </w:p>
    <w:p w14:paraId="1531567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宋体"/>
          <w:b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0EAD02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 w:val="0"/>
          <w:color w:val="FF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电 信 发 [ 2025 ]  6号</w:t>
      </w:r>
    </w:p>
    <w:p w14:paraId="1FD723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hanging="18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201295</wp:posOffset>
                </wp:positionV>
                <wp:extent cx="5615940" cy="0"/>
                <wp:effectExtent l="0" t="19050" r="3810" b="19050"/>
                <wp:wrapNone/>
                <wp:docPr id="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" o:spid="_x0000_s1026" o:spt="20" style="position:absolute;left:0pt;margin-left:-9pt;margin-top:15.85pt;height:0pt;width:442.2pt;z-index:251659264;mso-width-relative:page;mso-height-relative:page;" stroked="t" coordsize="21600,21600" o:gfxdata="UEsDBAoAAAAAAIdO4kAAAAAAAAAAAAAAAAAEAAAAZHJzL1BLAwQUAAAACACHTuJAf70NXNoAAAAJ&#10;AQAADwAAAGRycy9kb3ducmV2LnhtbE2PQUvDQBCF74L/YRnBi7SbqMQQMykiiNUerFEQb9vsmIRm&#10;Z+Pupq3/3hUPenzzHm++Vy4OZhA7cr63jJDOExDEjdU9twivL3ezHIQPirUaLBPCF3lYVMdHpSq0&#10;3fMz7erQiljCvlAIXQhjIaVvOjLKz+1IHL0P64wKUbpWaqf2sdwM8jxJMmlUz/FDp0a67ajZ1pNB&#10;ME/mRr6v7qfarR8e3z5Xy/X2bIl4epIm1yACHcJfGH7wIzpUkWljJ9ZeDAizNI9bAsJFegUiBvIs&#10;uwSx+T3IqpT/F1TfUEsDBBQAAAAIAIdO4kDSIKXt9wEAAOYDAAAOAAAAZHJzL2Uyb0RvYy54bWyt&#10;U82O0zAQviPxDpbvNMmyu1qipnuglAuClRYeYOo4iSX/yeM27UvwAkjc4MSRO2/D8hiMnW4XlksP&#10;5OCMPeNv5vtmPL/eGc22MqBytuHVrORMWuFaZfuGf3i/enbFGUawLWhnZcP3Evn14umT+ehreeYG&#10;p1sZGIFYrEff8CFGXxcFikEawJnz0pKzc8FApG3oizbASOhGF2dleVmMLrQ+OCER6XQ5OfkBMZwC&#10;6LpOCbl0YmOkjRNqkBoiUcJBeeSLXG3XSRHfdR3KyHTDiWnMKyUhe53WYjGHug/gByUOJcApJTzi&#10;ZEBZSnqEWkIEtgnqHyijRHDoujgTzhQTkawIsajKR9rcDuBl5kJSoz+Kjv8PVrzd3gSmWpoEziwY&#10;avjdp+8/P3759eMzrXffvrLzKqk0eqwp+NbfhMMOyUyUd10w6U9k2C4ruz8qK3eRCTq8uKwuXpyT&#10;6OLeVzxc9AHja+kMS0bDtbKJNNSwfYORklHofUg61paNDX9+VZUJD2gEO2o9mcYTDbR9voxOq3al&#10;tE5XMPTrlzqwLdAYrFYlfYkTAf8VlrIsAYcpLrumARkktK9sy+Lek0CW3gVPNRjZcqYlPaNkESDU&#10;EZQ+JZJSa0sVJFknIZO1du2e2rHxQfUDSZGVzzHU/lzvYVTTfP25z0g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+9DVzaAAAACQEAAA8AAAAAAAAAAQAgAAAAIgAAAGRycy9kb3ducmV2Lnht&#10;bFBLAQIUABQAAAAIAIdO4kDSIKXt9wEAAOYDAAAOAAAAAAAAAAEAIAAAACkBAABkcnMvZTJvRG9j&#10;LnhtbFBLBQYAAAAABgAGAFkBAACSBQAAAAA=&#10;">
                <v:path arrowok="t"/>
                <v:fill focussize="0,0"/>
                <v:stroke weight="3pt" color="#FF0000"/>
                <v:imagedata o:title=""/>
                <o:lock v:ext="edit"/>
              </v:line>
            </w:pict>
          </mc:Fallback>
        </mc:AlternateContent>
      </w:r>
    </w:p>
    <w:p w14:paraId="11AE02E8">
      <w:pPr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p w14:paraId="74B20BC3">
      <w:pPr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电子信息与自动化学院本科生导师制实施办法（试行）</w:t>
      </w:r>
    </w:p>
    <w:p w14:paraId="4072BEE7">
      <w:pPr>
        <w:ind w:left="600" w:firstLine="640"/>
        <w:rPr>
          <w:rFonts w:hint="eastAsia" w:ascii="方正仿宋_GBK" w:eastAsia="方正仿宋_GBK"/>
          <w:sz w:val="32"/>
          <w:szCs w:val="32"/>
        </w:rPr>
      </w:pPr>
    </w:p>
    <w:p w14:paraId="54BF5293">
      <w:pPr>
        <w:ind w:firstLine="0" w:firstLineChars="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第一章 总则</w:t>
      </w:r>
    </w:p>
    <w:p w14:paraId="6DD5DCDF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第一条 为全面贯彻党的教育方针，落实立德树人根本任务，深入推进“三全育人”，依据教育部相关教育改革文件精神和《天津科技大学本科生导师工作管理规定（试行）》《天津科技大学关于落实本科生导师制的指导意见》，结合学院实际，特制定本办法，以深化人才培养模式改革，充分发挥教师育人作用，促进学生全面成长，提升人才培养质量。</w:t>
      </w:r>
    </w:p>
    <w:p w14:paraId="3925D1F0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第二条 本科生导师制是为每位本科新生配备导师，导师在学生本科学习期间，在品德塑造、学业发展、学术探索、职业规划及生活关怀等方面提供全方位指导。旨在构建“导师引领、教师授课、辅导员协同、学长互助”的全员育人模式，帮助学生明确学习目标，掌握科学学习方法，增强创新实践能力，实现个性化成长。</w:t>
      </w:r>
    </w:p>
    <w:p w14:paraId="61528FA2">
      <w:pPr>
        <w:ind w:firstLine="0" w:firstLineChars="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第二章 导师任职条件</w:t>
      </w:r>
    </w:p>
    <w:p w14:paraId="28980463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第三条 导师必须恪守教师的职业道德，师德高尚，具有较强的工作责任心，严于律己，为人师表，热爱学生，关心学生成长和成才；应具有较合理的知识结构和一定的学术水平；熟悉学生专业的培养目标、培养计划、课程体系、课程大纲及其有关学分制的规定和授课教师的基本情况。</w:t>
      </w:r>
    </w:p>
    <w:p w14:paraId="45AEF48C">
      <w:pPr>
        <w:ind w:firstLine="0" w:firstLineChars="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第三章</w:t>
      </w:r>
      <w:r>
        <w:rPr>
          <w:rFonts w:ascii="方正仿宋_GBK" w:eastAsia="方正仿宋_GBK"/>
          <w:sz w:val="32"/>
          <w:szCs w:val="32"/>
        </w:rPr>
        <w:t xml:space="preserve"> 导师的遴选及配备</w:t>
      </w:r>
    </w:p>
    <w:p w14:paraId="6130F89E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第四条</w:t>
      </w:r>
      <w:r>
        <w:rPr>
          <w:rFonts w:ascii="方正仿宋_GBK" w:eastAsia="方正仿宋_GBK"/>
          <w:sz w:val="32"/>
          <w:szCs w:val="32"/>
        </w:rPr>
        <w:t xml:space="preserve"> 所有在岗教师原则上均应担任本科生导师。</w:t>
      </w:r>
    </w:p>
    <w:p w14:paraId="2383D4DF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第五条</w:t>
      </w:r>
      <w:r>
        <w:rPr>
          <w:rFonts w:ascii="方正仿宋_GBK" w:eastAsia="方正仿宋_GBK"/>
          <w:sz w:val="32"/>
          <w:szCs w:val="32"/>
        </w:rPr>
        <w:t xml:space="preserve"> 导师可通过教师自荐、专家推荐、学院指定、</w:t>
      </w:r>
      <w:r>
        <w:rPr>
          <w:rFonts w:hint="eastAsia" w:ascii="方正仿宋_GBK" w:eastAsia="方正仿宋_GBK"/>
          <w:sz w:val="32"/>
          <w:szCs w:val="32"/>
        </w:rPr>
        <w:t>双向</w:t>
      </w:r>
      <w:r>
        <w:rPr>
          <w:rFonts w:ascii="方正仿宋_GBK" w:eastAsia="方正仿宋_GBK"/>
          <w:sz w:val="32"/>
          <w:szCs w:val="32"/>
        </w:rPr>
        <w:t>选择</w:t>
      </w:r>
      <w:r>
        <w:rPr>
          <w:rFonts w:hint="eastAsia" w:ascii="方正仿宋_GBK" w:eastAsia="方正仿宋_GBK"/>
          <w:sz w:val="32"/>
          <w:szCs w:val="32"/>
        </w:rPr>
        <w:t>等多种途径参与遴选，最后由学院审核确定。</w:t>
      </w:r>
    </w:p>
    <w:p w14:paraId="1ED018FA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第六条</w:t>
      </w:r>
      <w:r>
        <w:rPr>
          <w:rFonts w:ascii="方正仿宋_GBK" w:eastAsia="方正仿宋_GBK"/>
          <w:sz w:val="32"/>
          <w:szCs w:val="32"/>
        </w:rPr>
        <w:t xml:space="preserve"> 原则上实行大学导师一贯制。</w:t>
      </w:r>
    </w:p>
    <w:p w14:paraId="6D8F0795">
      <w:pPr>
        <w:ind w:firstLine="0" w:firstLineChars="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第四章 导师聘任</w:t>
      </w:r>
    </w:p>
    <w:p w14:paraId="11F4F8BD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第七条 学院领导、专业负责人、教学名师、学科带头人等应积极担任导师，在同等条件下优先考虑；具有丰富科研经验、指导学生获奖或有突出教学成果的教师，优先担任导师。</w:t>
      </w:r>
    </w:p>
    <w:p w14:paraId="79A469AE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第八条 存在师德失范行为、教学事故或其他违规违纪行为，且情节严重的教师，取消导师任职资格；处于处分影响期内的教师，暂不担任导师。</w:t>
      </w:r>
    </w:p>
    <w:p w14:paraId="29680CF2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第九条 每学年开学初，学院公布导师库信息，包括导师基本情况、研究方向、指导特色等，供学生了解选择。</w:t>
      </w:r>
    </w:p>
    <w:p w14:paraId="7969E511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第十条 采用“双向选择”为主，</w:t>
      </w:r>
      <w:r>
        <w:rPr>
          <w:rFonts w:ascii="方正仿宋_GBK" w:eastAsia="方正仿宋_GBK"/>
          <w:sz w:val="32"/>
          <w:szCs w:val="32"/>
        </w:rPr>
        <w:t>教师自荐、专家推荐、学院指定</w:t>
      </w:r>
      <w:r>
        <w:rPr>
          <w:rFonts w:hint="eastAsia" w:ascii="方正仿宋_GBK" w:eastAsia="方正仿宋_GBK"/>
          <w:sz w:val="32"/>
          <w:szCs w:val="32"/>
        </w:rPr>
        <w:t>为辅的方式确定师生指导关系。学生根据自身兴趣和需求填报导师志愿，导师依据学生情况进行选择确认；对于未成功匹配的学生，由学院根据学生专业需求和导师指导能力进行统一调配。</w:t>
      </w:r>
    </w:p>
    <w:p w14:paraId="3E980F5C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第十一条 学院在新生入学后八周内完成导师聘任工作，并将《电子信息与自动化学院本科生导师登记表》报学生工作部门和教务部门备案。</w:t>
      </w:r>
    </w:p>
    <w:p w14:paraId="087A4E1D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第十二条 原则上每名导师指导同一年级本科生不超过1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名，对于跨年级指导的导师，总指导学生数不超过30名；对于部分师资紧张的专业，经学院论证并报学校批准，可适当放宽指导人数限制，但需确保指导质量。</w:t>
      </w:r>
    </w:p>
    <w:p w14:paraId="0B9E62B4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第十三条 导师聘任期限一般为四年，确保指导工作的连贯性；对于特殊情况，如导师因工作调动、健康原因等无法继续履行职责，或学生因转专业、学业困难等需要更换导师的，由学院审核同意后进行调整，并及时备案。</w:t>
      </w:r>
    </w:p>
    <w:p w14:paraId="1ADE4B17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第十四条 学生在学习过程中对导师指导不满意，可在每学期初提出更换申请，经学院评估协调后，视情况重新安排导师。</w:t>
      </w:r>
    </w:p>
    <w:p w14:paraId="5A5A6306">
      <w:pPr>
        <w:ind w:firstLine="0" w:firstLineChars="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第五章 导师职责</w:t>
      </w:r>
    </w:p>
    <w:p w14:paraId="1999EAC9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第十五条 以习近平新时代中国特色社会主义思想为引领，通过言传身教，引导学生树立正确的世界观、人生观和价值观，培养学生的社会责任感和家国情怀。</w:t>
      </w:r>
    </w:p>
    <w:p w14:paraId="5E2424D7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第十六条 关注学生思想动态和心理健康，定期与学生交流谈心，及时发现并解决学生在成长过程中遇到的思想困惑和心理问题，帮助学生塑造健全人格。</w:t>
      </w:r>
    </w:p>
    <w:p w14:paraId="38D2AB0B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第十七条 入学初期，帮助学生了解专业培养目标、课程体系和教学计划，引导学生明确专业学习方向，增强专业认同感。</w:t>
      </w:r>
    </w:p>
    <w:p w14:paraId="039078FD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第十八条 根据学生学习能力和兴趣特长，指导学生制定个性化的学业规划和每学期学习计划，指导学生合理选课，避免盲目选课或课程冲突。</w:t>
      </w:r>
    </w:p>
    <w:p w14:paraId="2CCB467A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第十九条 定期检查学生学业进展，针对学习困难学生，制定帮扶计划，指导学习方法，督促学生完成学业任务，提高学习成绩。</w:t>
      </w:r>
    </w:p>
    <w:p w14:paraId="307A0270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第二十条 向学生介绍学科前沿动态和学术研究方法，培养学生的学术兴趣和科研意识，鼓励学生参与学术活动和科研项目。</w:t>
      </w:r>
    </w:p>
    <w:p w14:paraId="7A7F1174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第二十一条 指导学生开展文献检索与阅读，撰写读书报告和学术论文，提升学生的学术写作能力；对于有科研潜力的学生，吸纳其参与自己的科研团队，指导学生开展课题研究，培养学生的科研创新能力。</w:t>
      </w:r>
    </w:p>
    <w:p w14:paraId="0B347507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第二十二条 引导学生参加各级各类学科竞赛、创新创业训练计划项目等实践活动，提高学生的实践动手能力和团队协作能力。</w:t>
      </w:r>
    </w:p>
    <w:p w14:paraId="7DD8B626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第二十三条 针对不同年级学生特点，开展职业生涯规划教育，帮助学生了解职业市场需求和行业发展趋势，引导学生树立正确的职业观和就业观。</w:t>
      </w:r>
    </w:p>
    <w:p w14:paraId="1B6DADDC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第二十四条 对于有考研意向的学生，提供考研信息咨询、目标院校选择、备考策略指导等帮助；对于希望就业的学生，指导学生制作简历、提高面试技巧，推荐实习和就业岗位。</w:t>
      </w:r>
    </w:p>
    <w:p w14:paraId="47CADC31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第二十五条 关心学生日常生活，了解学生的生活状况和需求，帮助学生解决生活中遇到的困难和问题，营造良好的生活氛围。</w:t>
      </w:r>
    </w:p>
    <w:p w14:paraId="103D8547">
      <w:pPr>
        <w:ind w:left="600" w:firstLine="640"/>
        <w:rPr>
          <w:rFonts w:hint="eastAsia" w:ascii="方正仿宋_GBK" w:eastAsia="方正仿宋_GBK"/>
          <w:sz w:val="32"/>
          <w:szCs w:val="32"/>
        </w:rPr>
      </w:pPr>
    </w:p>
    <w:p w14:paraId="7BA96353">
      <w:pPr>
        <w:ind w:firstLine="0" w:firstLineChars="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第六章 导师工作要求</w:t>
      </w:r>
    </w:p>
    <w:p w14:paraId="76ADDFA9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第二十六条 每学期开学初，导师应制定详细的指导工作计划，明确指导内容、方式和时间安排；每次指导活动后，及时填写《本科生导师指导手册》，记录指导内容、学生表现和问题建议等，作为考核评价的重要依据。</w:t>
      </w:r>
    </w:p>
    <w:p w14:paraId="29FD772A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第二十七条 采用线上线下相结合的方式开展指导工作，包括面对面交流、小组讨论、专题讲座、线上答疑等，确保指导方式灵活多样，满足学生需求。</w:t>
      </w:r>
    </w:p>
    <w:p w14:paraId="0244E02E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第二十八条 每月与学生进行至少一次面对面交流或线上深度沟通；每学期组织不少于两次的小组指导活动，如学术研讨、职业规划分享等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每学年组建不少于三支团队参加大学生创新创业竞赛项目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399D83F3">
      <w:pPr>
        <w:ind w:firstLine="0" w:firstLineChars="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第七章 沟通协作</w:t>
      </w:r>
    </w:p>
    <w:p w14:paraId="4963EA7E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第二十九条 加强与辅导员的沟通协作，定期交流学生情况，共同做好学生的教育管理工作；参与班级活动，了解学生的整体表现和班级氛围。</w:t>
      </w:r>
    </w:p>
    <w:p w14:paraId="671AB954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第三十条 积极参与学院组织的导师培训、经验交流等活动，不断提升自身指导能力和业务水平；及时反馈学生对教学、管理等方面的意见和建议，为学校改进工作提供参考。</w:t>
      </w:r>
    </w:p>
    <w:p w14:paraId="525844A9">
      <w:pPr>
        <w:ind w:firstLine="0" w:firstLineChars="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第八章 学生要求</w:t>
      </w:r>
    </w:p>
    <w:p w14:paraId="54135B38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第三十一条 尊重导师，主动与导师联系，按照导师要求定期汇报学习生活情况，积极参与导师组织的各项指导活动；每学期初制定个人学习计划，并及时与导师沟通，根据导师意见进行调整完善。</w:t>
      </w:r>
    </w:p>
    <w:p w14:paraId="2A41974F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第三十二条 认真完成导师布置的学习和科研任务，积极参加学术活动、学科竞赛和创新创业实践，不断提升自身综合素质；珍惜导师提供的学习资源和锻炼机会，努力提高自己的学习能力和实践能力。</w:t>
      </w:r>
    </w:p>
    <w:p w14:paraId="37BE57EE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第三十三条 配合学院开展导师工作考核评价，客观公正地评价导师工作表现，如实反馈自己的学习收获和问题建议；对于导师提出的改进意见，要认真落实，不断提高自身发展水平。</w:t>
      </w:r>
    </w:p>
    <w:p w14:paraId="6CD96925">
      <w:pPr>
        <w:ind w:firstLine="0" w:firstLineChars="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第九章 导师工作管理与考核</w:t>
      </w:r>
    </w:p>
    <w:p w14:paraId="04E9AF20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第三十四条 学院成立本科生导师工作组，由学院党政主要领导担任组长，分管教学和学生工作的领导担任副组长，成员包括系主任、学办主任、专业负责人、骨干教师代表等，负责制定本学院导师制实施细则，组织导师选聘、培训、考核等工作，落实导师制各项任务。</w:t>
      </w:r>
    </w:p>
    <w:p w14:paraId="34C00C84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第三十五条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教学期内每月末</w:t>
      </w:r>
      <w:r>
        <w:rPr>
          <w:rFonts w:hint="eastAsia" w:ascii="方正仿宋_GBK" w:eastAsia="方正仿宋_GBK"/>
          <w:sz w:val="32"/>
          <w:szCs w:val="32"/>
        </w:rPr>
        <w:t>导师上交《本科生导师指导手册》至工作小组查阅并加盖学院公章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年末综合指导情况</w:t>
      </w:r>
      <w:r>
        <w:rPr>
          <w:rFonts w:hint="eastAsia" w:ascii="方正仿宋_GBK" w:eastAsia="方正仿宋_GBK"/>
          <w:sz w:val="32"/>
          <w:szCs w:val="32"/>
        </w:rPr>
        <w:t>作为总结、考核导师工作的重要依据。</w:t>
      </w:r>
    </w:p>
    <w:p w14:paraId="4D443D32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第三十六条 每学年</w:t>
      </w:r>
      <w:r>
        <w:rPr>
          <w:rFonts w:ascii="方正仿宋_GBK" w:eastAsia="方正仿宋_GBK"/>
          <w:sz w:val="32"/>
          <w:szCs w:val="32"/>
        </w:rPr>
        <w:t>按照导师工作的基本职责，以《本科生导师指导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手</w:t>
      </w:r>
      <w:r>
        <w:rPr>
          <w:rFonts w:ascii="方正仿宋_GBK" w:eastAsia="方正仿宋_GBK"/>
          <w:sz w:val="32"/>
          <w:szCs w:val="32"/>
        </w:rPr>
        <w:t>册》和所指导学生评价为依据进行导师基本业绩考核。根据学院相关规定对考核合格的导师进行奖励。</w:t>
      </w:r>
    </w:p>
    <w:p w14:paraId="75743530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第三十七条 导师所指导的学生推免、考研录取和与用人单位签订就业协议（三方协议）、劳动合同的，按照学院相关规定对导师进行奖励。</w:t>
      </w:r>
    </w:p>
    <w:p w14:paraId="213EC46D">
      <w:pPr>
        <w:ind w:firstLine="640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第三十八条 导师年度考核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按照优秀、合格、不合格三档进行认定，优秀等级不超过导师数的10%，考核</w:t>
      </w:r>
      <w:r>
        <w:rPr>
          <w:rFonts w:hint="eastAsia" w:ascii="方正仿宋_GBK" w:eastAsia="方正仿宋_GBK"/>
          <w:sz w:val="32"/>
          <w:szCs w:val="32"/>
        </w:rPr>
        <w:t>结果作为教师年度工作考核内容之一计入本人业务档案，作为职称晋升、岗位聘任、评奖评优的基本条件之一。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教师评聘副教授及同等级别职称，需担任满一年本科生导师。</w:t>
      </w:r>
    </w:p>
    <w:p w14:paraId="2654061C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第三十九条 每学年学院</w:t>
      </w:r>
      <w:r>
        <w:rPr>
          <w:rFonts w:ascii="方正仿宋_GBK" w:eastAsia="方正仿宋_GBK"/>
          <w:sz w:val="32"/>
          <w:szCs w:val="32"/>
        </w:rPr>
        <w:t>评选优秀本科生导师荣誉称号，每学年末予以表彰。</w:t>
      </w:r>
    </w:p>
    <w:p w14:paraId="0F448228"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第四十条 学院定期组织优秀导师经验分享会，宣传推广优秀导师的工作经验和典型事迹，营造良好的育人氛围；为导师提供培训学习、学术交流等机会，提升导师的业务能力和综合素质。</w:t>
      </w:r>
    </w:p>
    <w:p w14:paraId="41C04DE6">
      <w:pPr>
        <w:ind w:firstLine="0" w:firstLineChars="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第十章</w:t>
      </w:r>
      <w:r>
        <w:rPr>
          <w:rFonts w:ascii="方正仿宋_GBK" w:eastAsia="方正仿宋_GBK"/>
          <w:sz w:val="32"/>
          <w:szCs w:val="32"/>
        </w:rPr>
        <w:t xml:space="preserve"> 附 则</w:t>
      </w:r>
    </w:p>
    <w:p w14:paraId="671B22C1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第四十一条</w:t>
      </w:r>
      <w:r>
        <w:rPr>
          <w:rFonts w:ascii="方正仿宋_GBK" w:eastAsia="方正仿宋_GBK"/>
          <w:sz w:val="32"/>
          <w:szCs w:val="32"/>
        </w:rPr>
        <w:t xml:space="preserve"> 本规定自 2025 年 9 月 1 日开始试行。</w:t>
      </w:r>
    </w:p>
    <w:p w14:paraId="33F17583"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第四十二条</w:t>
      </w:r>
      <w:r>
        <w:rPr>
          <w:rFonts w:ascii="方正仿宋_GBK" w:eastAsia="方正仿宋_GBK"/>
          <w:sz w:val="32"/>
          <w:szCs w:val="32"/>
        </w:rPr>
        <w:t xml:space="preserve"> 本规定其他未尽事宜由学院负责解释。</w:t>
      </w:r>
    </w:p>
    <w:p w14:paraId="781C2A9A">
      <w:pPr>
        <w:ind w:firstLine="640"/>
        <w:rPr>
          <w:rFonts w:hint="eastAsia" w:ascii="方正仿宋_GBK" w:eastAsia="方正仿宋_GBK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8776754"/>
      <w:docPartObj>
        <w:docPartGallery w:val="autotext"/>
      </w:docPartObj>
    </w:sdtPr>
    <w:sdtContent>
      <w:p w14:paraId="2FB0D430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BEE6B6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025B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51F7F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1572B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A3E9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3F45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51"/>
    <w:rsid w:val="00094303"/>
    <w:rsid w:val="001964E9"/>
    <w:rsid w:val="002F2C51"/>
    <w:rsid w:val="003C1C31"/>
    <w:rsid w:val="003E1133"/>
    <w:rsid w:val="006661C2"/>
    <w:rsid w:val="006B7730"/>
    <w:rsid w:val="007A1918"/>
    <w:rsid w:val="008F0E12"/>
    <w:rsid w:val="009040E7"/>
    <w:rsid w:val="0094504F"/>
    <w:rsid w:val="00991405"/>
    <w:rsid w:val="00A40B07"/>
    <w:rsid w:val="00A50968"/>
    <w:rsid w:val="00AC4788"/>
    <w:rsid w:val="00C2342D"/>
    <w:rsid w:val="00C267F0"/>
    <w:rsid w:val="00D30427"/>
    <w:rsid w:val="00D51474"/>
    <w:rsid w:val="00E814DE"/>
    <w:rsid w:val="00FA3C88"/>
    <w:rsid w:val="00FF0C95"/>
    <w:rsid w:val="00FF5EEF"/>
    <w:rsid w:val="0947349D"/>
    <w:rsid w:val="18336150"/>
    <w:rsid w:val="23CB16FF"/>
    <w:rsid w:val="399A1BDA"/>
    <w:rsid w:val="415359F3"/>
    <w:rsid w:val="46EE37D3"/>
    <w:rsid w:val="5B6D0D13"/>
    <w:rsid w:val="7145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3156</Words>
  <Characters>3163</Characters>
  <Lines>22</Lines>
  <Paragraphs>6</Paragraphs>
  <TotalTime>64</TotalTime>
  <ScaleCrop>false</ScaleCrop>
  <LinksUpToDate>false</LinksUpToDate>
  <CharactersWithSpaces>3222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2025-06-25T01:12:00Z</dcterms:created>
  <dc:creator>gg</dc:creator>
  <cp:lastModifiedBy>Rui</cp:lastModifiedBy>
  <dcterms:modified xsi:type="dcterms:W3CDTF">2025-10-10T01:26:47Z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eyJoZGlkIjoiMmJiNjJhYjZhZjYyOGRjODUwOGNiZWEwMjNkMzViYTkifQ==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AF91B968BA0046C6A1C02C00F58496EB_13</vt:lpwstr>
  </property>
</Properties>
</file>